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ascii="宋体" w:hAnsi="宋体"/>
          <w:b/>
          <w:sz w:val="44"/>
          <w:szCs w:val="44"/>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44"/>
          <w:szCs w:val="44"/>
        </w:rPr>
      </w:pPr>
    </w:p>
    <w:tbl>
      <w:tblPr>
        <w:tblStyle w:val="4"/>
        <w:tblpPr w:leftFromText="180" w:rightFromText="180" w:vertAnchor="page" w:horzAnchor="page" w:tblpX="1493" w:tblpY="3580"/>
        <w:tblOverlap w:val="never"/>
        <w:tblW w:w="9058" w:type="dxa"/>
        <w:tblInd w:w="0" w:type="dxa"/>
        <w:tblLayout w:type="fixed"/>
        <w:tblCellMar>
          <w:top w:w="0" w:type="dxa"/>
          <w:left w:w="28" w:type="dxa"/>
          <w:bottom w:w="0" w:type="dxa"/>
          <w:right w:w="28" w:type="dxa"/>
        </w:tblCellMar>
      </w:tblPr>
      <w:tblGrid>
        <w:gridCol w:w="9058"/>
      </w:tblGrid>
      <w:tr>
        <w:tblPrEx>
          <w:tblCellMar>
            <w:top w:w="0" w:type="dxa"/>
            <w:left w:w="28" w:type="dxa"/>
            <w:bottom w:w="0" w:type="dxa"/>
            <w:right w:w="28" w:type="dxa"/>
          </w:tblCellMar>
        </w:tblPrEx>
        <w:trPr>
          <w:trHeight w:val="2398" w:hRule="exact"/>
        </w:trPr>
        <w:tc>
          <w:tcPr>
            <w:tcW w:w="9058" w:type="dxa"/>
            <w:vAlign w:val="center"/>
          </w:tcPr>
          <w:p>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1600" w:lineRule="exact"/>
              <w:ind w:left="320" w:leftChars="100" w:right="320" w:rightChars="100" w:firstLine="0" w:firstLineChars="0"/>
              <w:jc w:val="distribute"/>
              <w:textAlignment w:val="bottom"/>
              <w:outlineLvl w:val="9"/>
              <w:rPr>
                <w:rFonts w:ascii="方正小标宋简体" w:eastAsia="方正小标宋简体"/>
                <w:b/>
                <w:bCs/>
                <w:w w:val="85"/>
                <w:sz w:val="84"/>
                <w:szCs w:val="84"/>
              </w:rPr>
            </w:pPr>
            <w:bookmarkStart w:id="0" w:name="fline"/>
            <w:r>
              <w:rPr>
                <w:rFonts w:hint="eastAsia" w:ascii="方正小标宋简体" w:eastAsia="方正小标宋简体"/>
                <w:b w:val="0"/>
                <w:bCs w:val="0"/>
                <w:color w:val="FF0000"/>
                <w:w w:val="66"/>
                <w:sz w:val="112"/>
                <w:szCs w:val="112"/>
              </w:rPr>
              <w:t>福建省教育厅办公室文件</w:t>
            </w:r>
          </w:p>
        </w:tc>
      </w:tr>
      <w:tr>
        <w:tblPrEx>
          <w:tblCellMar>
            <w:top w:w="0" w:type="dxa"/>
            <w:left w:w="28" w:type="dxa"/>
            <w:bottom w:w="0" w:type="dxa"/>
            <w:right w:w="28" w:type="dxa"/>
          </w:tblCellMar>
        </w:tblPrEx>
        <w:trPr>
          <w:trHeight w:val="593" w:hRule="exact"/>
        </w:trPr>
        <w:tc>
          <w:tcPr>
            <w:tcW w:w="9058" w:type="dxa"/>
            <w:vAlign w:val="bottom"/>
          </w:tcPr>
          <w:p>
            <w:pPr>
              <w:tabs>
                <w:tab w:val="left" w:pos="1095"/>
              </w:tabs>
              <w:adjustRightInd w:val="0"/>
              <w:snapToGrid w:val="0"/>
              <w:spacing w:before="120" w:line="318" w:lineRule="atLeast"/>
              <w:ind w:right="339" w:firstLine="256" w:firstLineChars="80"/>
              <w:jc w:val="center"/>
              <w:textAlignment w:val="bottom"/>
              <w:rPr>
                <w:rFonts w:ascii="仿宋_GB2312" w:hAnsi="仿宋" w:eastAsia="仿宋_GB2312"/>
              </w:rPr>
            </w:pPr>
            <w:r>
              <w:rPr>
                <w:rFonts w:hint="eastAsia" w:ascii="仿宋_GB2312" w:hAnsi="仿宋_GB2312" w:eastAsia="仿宋_GB2312" w:cs="仿宋_GB2312"/>
              </w:rPr>
              <w:t>闽教</w:t>
            </w:r>
            <w:r>
              <w:rPr>
                <w:rFonts w:hint="eastAsia" w:ascii="仿宋_GB2312" w:hAnsi="仿宋_GB2312" w:eastAsia="仿宋_GB2312" w:cs="仿宋_GB2312"/>
                <w:lang w:eastAsia="zh-CN"/>
              </w:rPr>
              <w:t>办师</w:t>
            </w:r>
            <w:r>
              <w:rPr>
                <w:rFonts w:hint="eastAsia" w:ascii="仿宋_GB2312" w:hAnsi="仿宋_GB2312" w:eastAsia="仿宋_GB2312" w:cs="仿宋_GB2312"/>
              </w:rPr>
              <w:t>〔2</w:t>
            </w:r>
            <w:r>
              <w:rPr>
                <w:rFonts w:hint="eastAsia" w:ascii="仿宋_GB2312" w:hAnsi="仿宋_GB2312" w:eastAsia="仿宋_GB2312" w:cs="仿宋_GB2312"/>
                <w:lang w:val="en-US" w:eastAsia="zh-CN"/>
              </w:rPr>
              <w:t>021</w:t>
            </w:r>
            <w:r>
              <w:rPr>
                <w:rFonts w:hint="eastAsia" w:ascii="仿宋_GB2312" w:hAnsi="仿宋_GB2312" w:eastAsia="仿宋_GB2312" w:cs="仿宋_GB2312"/>
              </w:rPr>
              <w:t>〕</w:t>
            </w:r>
            <w:r>
              <w:rPr>
                <w:rFonts w:hint="eastAsia" w:ascii="仿宋_GB2312" w:hAnsi="仿宋_GB2312" w:eastAsia="仿宋_GB2312" w:cs="仿宋_GB2312"/>
                <w:lang w:val="en-US" w:eastAsia="zh-CN"/>
              </w:rPr>
              <w:t>3</w:t>
            </w:r>
            <w:r>
              <w:rPr>
                <w:rFonts w:hint="eastAsia" w:ascii="仿宋_GB2312" w:hAnsi="仿宋_GB2312" w:eastAsia="仿宋_GB2312" w:cs="仿宋_GB2312"/>
              </w:rPr>
              <w:t>号</w:t>
            </w:r>
          </w:p>
        </w:tc>
      </w:tr>
      <w:tr>
        <w:tblPrEx>
          <w:tblCellMar>
            <w:top w:w="0" w:type="dxa"/>
            <w:left w:w="28" w:type="dxa"/>
            <w:bottom w:w="0" w:type="dxa"/>
            <w:right w:w="28" w:type="dxa"/>
          </w:tblCellMar>
        </w:tblPrEx>
        <w:trPr>
          <w:trHeight w:val="107" w:hRule="exact"/>
        </w:trPr>
        <w:tc>
          <w:tcPr>
            <w:tcW w:w="9058" w:type="dxa"/>
            <w:vAlign w:val="top"/>
          </w:tcPr>
          <w:p>
            <w:pPr>
              <w:adjustRightInd w:val="0"/>
              <w:snapToGrid w:val="0"/>
              <w:spacing w:line="240" w:lineRule="exact"/>
              <w:jc w:val="center"/>
              <w:rPr>
                <w:rFonts w:ascii="仿宋" w:hAnsi="仿宋" w:cs="宋体"/>
                <w:sz w:val="10"/>
                <w:szCs w:val="10"/>
              </w:rPr>
            </w:pPr>
            <w:r>
              <w:rPr>
                <w:rFonts w:ascii="仿宋" w:hAnsi="仿宋" w:cs="宋体"/>
                <w:sz w:val="44"/>
                <w:szCs w:val="44"/>
              </w:rPr>
              <mc:AlternateContent>
                <mc:Choice Requires="wps">
                  <w:drawing>
                    <wp:anchor distT="0" distB="0" distL="114300" distR="114300" simplePos="0" relativeHeight="251658240" behindDoc="1" locked="0" layoutInCell="1" allowOverlap="1">
                      <wp:simplePos x="0" y="0"/>
                      <wp:positionH relativeFrom="column">
                        <wp:posOffset>-17780</wp:posOffset>
                      </wp:positionH>
                      <wp:positionV relativeFrom="paragraph">
                        <wp:posOffset>41910</wp:posOffset>
                      </wp:positionV>
                      <wp:extent cx="5742940" cy="635"/>
                      <wp:effectExtent l="0" t="19050" r="10160" b="37465"/>
                      <wp:wrapTight wrapText="bothSides">
                        <wp:wrapPolygon>
                          <wp:start x="0" y="-648000"/>
                          <wp:lineTo x="0" y="0"/>
                          <wp:lineTo x="21495" y="0"/>
                          <wp:lineTo x="21495" y="-648000"/>
                          <wp:lineTo x="0" y="-648000"/>
                        </wp:wrapPolygon>
                      </wp:wrapTight>
                      <wp:docPr id="1" name="直接连接符 1"/>
                      <wp:cNvGraphicFramePr/>
                      <a:graphic xmlns:a="http://schemas.openxmlformats.org/drawingml/2006/main">
                        <a:graphicData uri="http://schemas.microsoft.com/office/word/2010/wordprocessingShape">
                          <wps:wsp>
                            <wps:cNvCnPr/>
                            <wps:spPr>
                              <a:xfrm>
                                <a:off x="0" y="0"/>
                                <a:ext cx="5742940" cy="635"/>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pt;margin-top:3.3pt;height:0.05pt;width:452.2pt;mso-wrap-distance-left:9pt;mso-wrap-distance-right:9pt;z-index:-251658240;mso-width-relative:page;mso-height-relative:page;" filled="f" stroked="t" coordsize="21600,21600" wrapcoords="0 -648000 0 0 21495 0 21495 -648000 0 -648000" o:gfxdata="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6bgJO1wAAAAYBAAAPAAAA&#10;AAAAAAEAIAAAACIAAABkcnMvZG93bnJldi54bWxQSwECFAAUAAAACACHTuJAkAi+ed0BAACZAwAA&#10;DgAAAAAAAAABACAAAAAmAQAAZHJzL2Uyb0RvYy54bWxQSwUGAAAAAAYABgBZAQAAdQUAAAAA&#10;">
                      <v:fill on="f" focussize="0,0"/>
                      <v:stroke weight="3pt" color="#FF0000" joinstyle="round"/>
                      <v:imagedata o:title=""/>
                      <o:lock v:ext="edit" aspectratio="f"/>
                      <w10:wrap type="tight"/>
                    </v:line>
                  </w:pict>
                </mc:Fallback>
              </mc:AlternateContent>
            </w:r>
          </w:p>
        </w:tc>
      </w:tr>
      <w:bookmarkEnd w:id="0"/>
    </w:tbl>
    <w:p>
      <w:pPr>
        <w:keepNext w:val="0"/>
        <w:keepLines w:val="0"/>
        <w:pageBreakBefore w:val="0"/>
        <w:widowControl w:val="0"/>
        <w:tabs>
          <w:tab w:val="left" w:pos="7797"/>
        </w:tabs>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7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福建省教育厅办公室关于开展第二批“全国</w:t>
      </w:r>
    </w:p>
    <w:p>
      <w:pPr>
        <w:keepNext w:val="0"/>
        <w:keepLines w:val="0"/>
        <w:pageBreakBefore w:val="0"/>
        <w:widowControl w:val="0"/>
        <w:kinsoku/>
        <w:wordWrap/>
        <w:overflowPunct/>
        <w:topLinePunct w:val="0"/>
        <w:autoSpaceDE/>
        <w:autoSpaceDN/>
        <w:bidi w:val="0"/>
        <w:adjustRightInd/>
        <w:snapToGrid/>
        <w:spacing w:line="7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高校黄大年式教师团队”创建活动的通知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各高等学校：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批“全国高校黄大年式教师团队”创建以来，充分发挥示范引领作用，为培养造就高素质专业化创新型高校教师队伍，推动高等教育内涵式发展发挥了重要作用。为继续深入贯彻落实习近平总书记对黄大年同志先进事迹重要指示精神，贯彻落实党中央、国务院关于加强教师队伍建设的决策部署，教育部决定开展第二批“全国高校黄大年式教师团队”创建活动。现将有关事项通知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ascii="黑体" w:hAnsi="黑体" w:eastAsia="黑体"/>
          <w:sz w:val="32"/>
          <w:szCs w:val="32"/>
        </w:rPr>
      </w:pPr>
      <w:r>
        <w:rPr>
          <w:rFonts w:hint="eastAsia" w:ascii="黑体" w:hAnsi="黑体" w:eastAsia="黑体"/>
          <w:sz w:val="32"/>
          <w:szCs w:val="32"/>
        </w:rPr>
        <w:t>一、目的意义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eastAsia="仿宋_GB2312"/>
          <w:sz w:val="32"/>
          <w:szCs w:val="32"/>
        </w:rPr>
      </w:pPr>
      <w:r>
        <w:rPr>
          <w:rFonts w:eastAsia="仿宋_GB2312"/>
          <w:sz w:val="32"/>
          <w:szCs w:val="32"/>
        </w:rPr>
        <w:t>通过</w:t>
      </w:r>
      <w:r>
        <w:rPr>
          <w:rFonts w:hint="eastAsia" w:eastAsia="仿宋_GB2312"/>
          <w:sz w:val="32"/>
          <w:szCs w:val="32"/>
        </w:rPr>
        <w:t>创建</w:t>
      </w:r>
      <w:r>
        <w:rPr>
          <w:rFonts w:hint="eastAsia" w:ascii="仿宋_GB2312" w:hAnsi="仿宋_GB2312" w:eastAsia="仿宋_GB2312" w:cs="仿宋_GB2312"/>
          <w:sz w:val="32"/>
          <w:szCs w:val="32"/>
        </w:rPr>
        <w:t>“</w:t>
      </w:r>
      <w:r>
        <w:rPr>
          <w:rFonts w:eastAsia="仿宋_GB2312"/>
          <w:sz w:val="32"/>
          <w:szCs w:val="32"/>
        </w:rPr>
        <w:t>全国高校黄大年式教师团队</w:t>
      </w:r>
      <w:r>
        <w:rPr>
          <w:rFonts w:hint="eastAsia" w:ascii="仿宋_GB2312" w:hAnsi="仿宋_GB2312" w:eastAsia="仿宋_GB2312" w:cs="仿宋_GB2312"/>
          <w:sz w:val="32"/>
          <w:szCs w:val="32"/>
        </w:rPr>
        <w:t>”</w:t>
      </w:r>
      <w:r>
        <w:rPr>
          <w:rFonts w:eastAsia="仿宋_GB2312"/>
          <w:sz w:val="32"/>
          <w:szCs w:val="32"/>
        </w:rPr>
        <w:t>，组织引导广大高校教师和科研工作者以黄大年同志为榜样，心有大我、至诚报国，教书育人、敢为人先，淡泊名利、甘于奉献，把爱国之情、报国之志融入祖国改革发展的伟大事业之中、融入人民创造历史的伟大奋斗之中，从自己做起，从本职岗位做起，为实现</w:t>
      </w:r>
      <w:r>
        <w:rPr>
          <w:rFonts w:hint="eastAsia" w:ascii="仿宋_GB2312" w:hAnsi="仿宋_GB2312" w:eastAsia="仿宋_GB2312" w:cs="仿宋_GB2312"/>
          <w:sz w:val="32"/>
          <w:szCs w:val="32"/>
        </w:rPr>
        <w:t>“</w:t>
      </w:r>
      <w:r>
        <w:rPr>
          <w:rFonts w:eastAsia="仿宋_GB2312"/>
          <w:sz w:val="32"/>
          <w:szCs w:val="32"/>
        </w:rPr>
        <w:t>两个一百年</w:t>
      </w:r>
      <w:r>
        <w:rPr>
          <w:rFonts w:hint="eastAsia" w:ascii="仿宋_GB2312" w:hAnsi="仿宋_GB2312" w:eastAsia="仿宋_GB2312" w:cs="仿宋_GB2312"/>
          <w:sz w:val="32"/>
          <w:szCs w:val="32"/>
        </w:rPr>
        <w:t>”</w:t>
      </w:r>
      <w:r>
        <w:rPr>
          <w:rFonts w:eastAsia="仿宋_GB2312"/>
          <w:sz w:val="32"/>
          <w:szCs w:val="32"/>
        </w:rPr>
        <w:t>奋斗目标、实现中华民族伟大复兴的中国梦贡献智慧和力量。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ascii="黑体" w:hAnsi="黑体" w:eastAsia="黑体"/>
          <w:sz w:val="32"/>
          <w:szCs w:val="32"/>
        </w:rPr>
      </w:pPr>
      <w:r>
        <w:rPr>
          <w:rFonts w:hint="eastAsia" w:ascii="黑体" w:hAnsi="黑体" w:eastAsia="黑体"/>
          <w:sz w:val="32"/>
          <w:szCs w:val="32"/>
        </w:rPr>
        <w:t>二、基本条件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70"/>
        <w:textAlignment w:val="auto"/>
        <w:outlineLvl w:val="9"/>
        <w:rPr>
          <w:rFonts w:hint="eastAsia" w:ascii="仿宋_GB2312" w:hAnsi="仿宋_GB2312" w:eastAsia="仿宋_GB2312" w:cs="仿宋_GB2312"/>
          <w:sz w:val="32"/>
          <w:szCs w:val="32"/>
        </w:rPr>
      </w:pPr>
      <w:r>
        <w:rPr>
          <w:rFonts w:eastAsia="仿宋_GB2312"/>
          <w:sz w:val="32"/>
          <w:szCs w:val="32"/>
        </w:rPr>
        <w:t>深入贯彻落实习近平新时代中国特色社会主义思想和党的十九大及十九届二中、三中、四中</w:t>
      </w:r>
      <w:r>
        <w:rPr>
          <w:rFonts w:hint="eastAsia" w:eastAsia="仿宋_GB2312"/>
          <w:sz w:val="32"/>
          <w:szCs w:val="32"/>
        </w:rPr>
        <w:t>、五中</w:t>
      </w:r>
      <w:r>
        <w:rPr>
          <w:rFonts w:eastAsia="仿宋_GB2312"/>
          <w:sz w:val="32"/>
          <w:szCs w:val="32"/>
        </w:rPr>
        <w:t>全会精神，全面贯彻党的教育方针，坚持社会主义办学方向，落实立德树人根本任务，注重加强教师队伍党的建设，重视大学生思想政治教育工作，在师德师风、教育教学、科研创新、</w:t>
      </w:r>
      <w:r>
        <w:rPr>
          <w:rFonts w:hint="eastAsia" w:eastAsia="仿宋_GB2312"/>
          <w:sz w:val="32"/>
          <w:szCs w:val="32"/>
        </w:rPr>
        <w:t>就业创业、</w:t>
      </w:r>
      <w:r>
        <w:rPr>
          <w:rFonts w:eastAsia="仿宋_GB2312"/>
          <w:sz w:val="32"/>
          <w:szCs w:val="32"/>
        </w:rPr>
        <w:t>社会服务等方面成绩突出，为教育改革发展稳定作出重要贡献的高校教学科研单位、创新团队。具体</w:t>
      </w:r>
      <w:r>
        <w:rPr>
          <w:rFonts w:hint="eastAsia" w:eastAsia="仿宋_GB2312"/>
          <w:sz w:val="32"/>
          <w:szCs w:val="32"/>
        </w:rPr>
        <w:t>建设</w:t>
      </w:r>
      <w:r>
        <w:rPr>
          <w:rFonts w:eastAsia="仿宋_GB2312"/>
          <w:sz w:val="32"/>
          <w:szCs w:val="32"/>
        </w:rPr>
        <w:t>指标体</w:t>
      </w:r>
      <w:r>
        <w:rPr>
          <w:rFonts w:hint="eastAsia" w:ascii="仿宋_GB2312" w:hAnsi="仿宋_GB2312" w:eastAsia="仿宋_GB2312" w:cs="仿宋_GB2312"/>
          <w:sz w:val="32"/>
          <w:szCs w:val="32"/>
        </w:rPr>
        <w:t>系见附件1</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ascii="黑体" w:hAnsi="黑体" w:eastAsia="黑体"/>
          <w:sz w:val="32"/>
          <w:szCs w:val="32"/>
        </w:rPr>
      </w:pPr>
      <w:r>
        <w:rPr>
          <w:rFonts w:hint="eastAsia" w:ascii="黑体" w:hAnsi="黑体" w:eastAsia="黑体"/>
          <w:sz w:val="32"/>
          <w:szCs w:val="32"/>
        </w:rPr>
        <w:t>三、办法程序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1.各校按照“全国高校黄大年式教师团队”的基本条件和具体指标，制定本校工作安排、实施措施、奖励办法等，因地制宜开展创建工作。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根据教育部分配，我省有</w:t>
      </w:r>
      <w:r>
        <w:rPr>
          <w:rFonts w:hint="eastAsia" w:ascii="仿宋_GB2312" w:hAnsi="仿宋_GB2312" w:eastAsia="仿宋_GB2312" w:cs="仿宋_GB2312"/>
          <w:sz w:val="32"/>
          <w:szCs w:val="32"/>
          <w:lang w:val="en-US" w:eastAsia="zh-CN"/>
        </w:rPr>
        <w:t>8个</w:t>
      </w:r>
      <w:r>
        <w:rPr>
          <w:rFonts w:hint="eastAsia" w:ascii="仿宋_GB2312" w:hAnsi="仿宋_GB2312" w:eastAsia="仿宋_GB2312" w:cs="仿宋_GB2312"/>
          <w:sz w:val="32"/>
          <w:szCs w:val="32"/>
          <w:lang w:eastAsia="zh-CN"/>
        </w:rPr>
        <w:t>推荐名额。</w:t>
      </w:r>
      <w:r>
        <w:rPr>
          <w:rFonts w:hint="eastAsia" w:ascii="仿宋_GB2312" w:hAnsi="仿宋_GB2312" w:eastAsia="仿宋_GB2312" w:cs="仿宋_GB2312"/>
          <w:sz w:val="32"/>
          <w:szCs w:val="32"/>
          <w:lang w:val="en-US" w:eastAsia="zh-CN"/>
        </w:rPr>
        <w:t>各校按照</w:t>
      </w:r>
      <w:r>
        <w:rPr>
          <w:rFonts w:hint="eastAsia" w:ascii="仿宋_GB2312" w:hAnsi="仿宋_GB2312" w:eastAsia="仿宋_GB2312" w:cs="仿宋_GB2312"/>
          <w:sz w:val="32"/>
          <w:szCs w:val="32"/>
          <w:lang w:eastAsia="zh-CN"/>
        </w:rPr>
        <w:t>每校最多</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个名额申报。我厅将根据各校推荐情况，择优</w:t>
      </w:r>
      <w:r>
        <w:rPr>
          <w:rFonts w:hint="eastAsia" w:ascii="仿宋_GB2312" w:hAnsi="仿宋_GB2312" w:eastAsia="仿宋_GB2312" w:cs="仿宋_GB2312"/>
          <w:color w:val="auto"/>
          <w:sz w:val="32"/>
          <w:szCs w:val="32"/>
        </w:rPr>
        <w:t>遴</w:t>
      </w:r>
      <w:r>
        <w:rPr>
          <w:rFonts w:hint="eastAsia" w:ascii="仿宋_GB2312" w:hAnsi="仿宋_GB2312" w:eastAsia="仿宋_GB2312" w:cs="仿宋_GB2312"/>
          <w:sz w:val="32"/>
          <w:szCs w:val="32"/>
        </w:rPr>
        <w:t>选8个教师团队</w:t>
      </w:r>
      <w:r>
        <w:rPr>
          <w:rFonts w:hint="eastAsia" w:ascii="仿宋_GB2312" w:hAnsi="仿宋_GB2312" w:eastAsia="仿宋_GB2312" w:cs="仿宋_GB2312"/>
          <w:sz w:val="32"/>
          <w:szCs w:val="32"/>
          <w:lang w:eastAsia="zh-CN"/>
        </w:rPr>
        <w:t>向</w:t>
      </w:r>
      <w:r>
        <w:rPr>
          <w:rFonts w:hint="eastAsia" w:ascii="仿宋_GB2312" w:hAnsi="仿宋_GB2312" w:eastAsia="仿宋_GB2312" w:cs="仿宋_GB2312"/>
          <w:sz w:val="32"/>
          <w:szCs w:val="32"/>
        </w:rPr>
        <w:t>教育部</w:t>
      </w:r>
      <w:r>
        <w:rPr>
          <w:rFonts w:hint="eastAsia" w:ascii="仿宋_GB2312" w:hAnsi="仿宋_GB2312" w:eastAsia="仿宋_GB2312" w:cs="仿宋_GB2312"/>
          <w:sz w:val="32"/>
          <w:szCs w:val="32"/>
          <w:lang w:eastAsia="zh-CN"/>
        </w:rPr>
        <w:t>申报</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3.教育部委托相关组织和专家，采取材料审核和实地抽查相结合方式，对“全国高校黄大年式教师团队”进行认定。2021年</w:t>
      </w:r>
      <w:r>
        <w:rPr>
          <w:rFonts w:hint="eastAsia" w:ascii="仿宋_GB2312" w:hAnsi="仿宋_GB2312" w:eastAsia="仿宋_GB2312" w:cs="仿宋_GB2312"/>
          <w:sz w:val="32"/>
          <w:szCs w:val="32"/>
          <w:lang w:eastAsia="zh-CN"/>
        </w:rPr>
        <w:t>教育部</w:t>
      </w:r>
      <w:r>
        <w:rPr>
          <w:rFonts w:hint="eastAsia" w:ascii="仿宋_GB2312" w:hAnsi="仿宋_GB2312" w:eastAsia="仿宋_GB2312" w:cs="仿宋_GB2312"/>
          <w:sz w:val="32"/>
          <w:szCs w:val="32"/>
        </w:rPr>
        <w:t>拟认定第二批“全国高校黄大年式教师团队”200个。</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ascii="黑体" w:hAnsi="黑体" w:eastAsia="黑体"/>
          <w:sz w:val="32"/>
          <w:szCs w:val="32"/>
        </w:rPr>
      </w:pPr>
      <w:r>
        <w:rPr>
          <w:rFonts w:hint="eastAsia" w:ascii="黑体" w:hAnsi="黑体" w:eastAsia="黑体"/>
          <w:sz w:val="32"/>
          <w:szCs w:val="32"/>
        </w:rPr>
        <w:t>四、奖励措施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eastAsia="仿宋_GB2312"/>
          <w:sz w:val="32"/>
          <w:szCs w:val="32"/>
        </w:rPr>
      </w:pPr>
      <w:r>
        <w:rPr>
          <w:rFonts w:eastAsia="仿宋_GB2312"/>
          <w:sz w:val="32"/>
          <w:szCs w:val="32"/>
        </w:rPr>
        <w:t>坚持精神奖励、典型宣传与发展支持相结合。教育部将在重大教育改革试点、重大工程项目建设中，</w:t>
      </w:r>
      <w:r>
        <w:rPr>
          <w:rFonts w:hint="eastAsia" w:ascii="仿宋_GB2312" w:hAnsi="仿宋_GB2312" w:eastAsia="仿宋_GB2312" w:cs="仿宋_GB2312"/>
          <w:sz w:val="32"/>
          <w:szCs w:val="32"/>
        </w:rPr>
        <w:t>把“全国高校黄大年式教师团队”的创建情况作为</w:t>
      </w:r>
      <w:r>
        <w:rPr>
          <w:rFonts w:eastAsia="仿宋_GB2312"/>
          <w:sz w:val="32"/>
          <w:szCs w:val="32"/>
        </w:rPr>
        <w:t>一个重要观测指标</w:t>
      </w:r>
      <w:r>
        <w:rPr>
          <w:rFonts w:hint="eastAsia" w:eastAsia="仿宋_GB2312"/>
          <w:sz w:val="32"/>
          <w:szCs w:val="32"/>
        </w:rPr>
        <w:t>。</w:t>
      </w:r>
      <w:r>
        <w:rPr>
          <w:rFonts w:eastAsia="仿宋_GB2312"/>
          <w:sz w:val="32"/>
          <w:szCs w:val="32"/>
        </w:rPr>
        <w:t>对认定为</w:t>
      </w:r>
      <w:r>
        <w:rPr>
          <w:rFonts w:hint="eastAsia" w:eastAsia="仿宋_GB2312"/>
          <w:sz w:val="32"/>
          <w:szCs w:val="32"/>
          <w:lang w:eastAsia="zh-CN"/>
        </w:rPr>
        <w:t>“</w:t>
      </w:r>
      <w:r>
        <w:rPr>
          <w:rFonts w:eastAsia="仿宋_GB2312"/>
          <w:sz w:val="32"/>
          <w:szCs w:val="32"/>
        </w:rPr>
        <w:t>全国高校黄大年式教师团队</w:t>
      </w:r>
      <w:r>
        <w:rPr>
          <w:rFonts w:hint="eastAsia" w:eastAsia="仿宋_GB2312"/>
          <w:sz w:val="32"/>
          <w:szCs w:val="32"/>
          <w:lang w:eastAsia="zh-CN"/>
        </w:rPr>
        <w:t>”</w:t>
      </w:r>
      <w:r>
        <w:rPr>
          <w:rFonts w:eastAsia="仿宋_GB2312"/>
          <w:sz w:val="32"/>
          <w:szCs w:val="32"/>
        </w:rPr>
        <w:t>的，颁发牌匾和证书，并会同有关部门统筹加大</w:t>
      </w:r>
      <w:r>
        <w:rPr>
          <w:rFonts w:hint="eastAsia" w:eastAsia="仿宋_GB2312"/>
          <w:sz w:val="32"/>
          <w:szCs w:val="32"/>
        </w:rPr>
        <w:t>团队建设</w:t>
      </w:r>
      <w:r>
        <w:rPr>
          <w:rFonts w:eastAsia="仿宋_GB2312"/>
          <w:sz w:val="32"/>
          <w:szCs w:val="32"/>
        </w:rPr>
        <w:t>支持力度，组织开展跨领域的学术交流、联合攻关、研修培训以及与地方产业技术需求对接等活动，加强团队突出业绩和典型事迹的宣传。</w:t>
      </w:r>
      <w:r>
        <w:rPr>
          <w:rFonts w:hint="eastAsia" w:eastAsia="仿宋_GB2312"/>
          <w:sz w:val="32"/>
          <w:szCs w:val="32"/>
        </w:rPr>
        <w:t>“全国高校黄大年式教师团队”成员在申报有关人才支持计划、教学名师、全国教书育人楷模、全国教育系统先进集体和先进个人等时，同等条件下优先考虑。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eastAsia="仿宋_GB2312"/>
          <w:color w:val="auto"/>
          <w:sz w:val="32"/>
          <w:szCs w:val="32"/>
          <w:u w:val="none"/>
        </w:rPr>
      </w:pPr>
      <w:r>
        <w:rPr>
          <w:rFonts w:eastAsia="仿宋_GB2312"/>
          <w:color w:val="auto"/>
          <w:sz w:val="32"/>
          <w:szCs w:val="32"/>
          <w:u w:val="none"/>
        </w:rPr>
        <w:t>各校要结合现有科研计划和人才计划，在拓展发展通道、承担科研任务、提供保障条件、加大激励力度等方面对认定通过的</w:t>
      </w:r>
      <w:r>
        <w:rPr>
          <w:rFonts w:hint="eastAsia" w:eastAsia="仿宋_GB2312"/>
          <w:color w:val="auto"/>
          <w:sz w:val="32"/>
          <w:szCs w:val="32"/>
          <w:u w:val="none"/>
          <w:lang w:eastAsia="zh-CN"/>
        </w:rPr>
        <w:t>“</w:t>
      </w:r>
      <w:r>
        <w:rPr>
          <w:rFonts w:eastAsia="仿宋_GB2312"/>
          <w:color w:val="auto"/>
          <w:sz w:val="32"/>
          <w:szCs w:val="32"/>
          <w:u w:val="none"/>
        </w:rPr>
        <w:t>全国高校黄大年式教师团队</w:t>
      </w:r>
      <w:r>
        <w:rPr>
          <w:rFonts w:hint="eastAsia" w:eastAsia="仿宋_GB2312"/>
          <w:color w:val="auto"/>
          <w:sz w:val="32"/>
          <w:szCs w:val="32"/>
          <w:u w:val="none"/>
          <w:lang w:eastAsia="zh-CN"/>
        </w:rPr>
        <w:t>”</w:t>
      </w:r>
      <w:r>
        <w:rPr>
          <w:rFonts w:eastAsia="仿宋_GB2312"/>
          <w:color w:val="auto"/>
          <w:sz w:val="32"/>
          <w:szCs w:val="32"/>
          <w:u w:val="none"/>
        </w:rPr>
        <w:t>给予重点支持。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ascii="黑体" w:hAnsi="黑体" w:eastAsia="黑体"/>
          <w:sz w:val="32"/>
          <w:szCs w:val="32"/>
        </w:rPr>
      </w:pPr>
      <w:r>
        <w:rPr>
          <w:rFonts w:hint="eastAsia" w:ascii="黑体" w:hAnsi="黑体" w:eastAsia="黑体"/>
          <w:sz w:val="32"/>
          <w:szCs w:val="32"/>
        </w:rPr>
        <w:t>五、</w:t>
      </w:r>
      <w:r>
        <w:rPr>
          <w:rFonts w:hint="eastAsia" w:ascii="黑体" w:hAnsi="黑体" w:eastAsia="黑体"/>
          <w:sz w:val="32"/>
          <w:szCs w:val="32"/>
          <w:lang w:eastAsia="zh-CN"/>
        </w:rPr>
        <w:t>材料报送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请各高校于</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日前将《全国高校黄大年式教师团队申报表》（附件2）、《全国高校黄大年式教师团队推荐汇总表》（附件3）</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开展创建活动的情况报告，纸质版一式5份报送我厅教师工作处</w:t>
      </w:r>
      <w:r>
        <w:rPr>
          <w:rFonts w:hint="eastAsia" w:ascii="仿宋_GB2312" w:hAnsi="仿宋_GB2312" w:eastAsia="仿宋_GB2312" w:cs="仿宋_GB2312"/>
          <w:sz w:val="32"/>
          <w:szCs w:val="32"/>
          <w:lang w:eastAsia="zh-CN"/>
        </w:rPr>
        <w:t>（电子版发送邮箱）</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我厅</w:t>
      </w:r>
      <w:r>
        <w:rPr>
          <w:rFonts w:hint="eastAsia" w:ascii="仿宋_GB2312" w:hAnsi="仿宋_GB2312" w:eastAsia="仿宋_GB2312" w:cs="仿宋_GB2312"/>
          <w:sz w:val="32"/>
          <w:szCs w:val="32"/>
        </w:rPr>
        <w:t>择优遴选</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8个教师团队</w:t>
      </w:r>
      <w:r>
        <w:rPr>
          <w:rFonts w:hint="eastAsia" w:ascii="仿宋_GB2312" w:hAnsi="仿宋_GB2312" w:eastAsia="仿宋_GB2312" w:cs="仿宋_GB2312"/>
          <w:sz w:val="32"/>
          <w:szCs w:val="32"/>
          <w:lang w:eastAsia="zh-CN"/>
        </w:rPr>
        <w:t>还需于</w:t>
      </w:r>
      <w:r>
        <w:rPr>
          <w:rFonts w:hint="eastAsia" w:ascii="仿宋_GB2312" w:hAnsi="仿宋_GB2312" w:eastAsia="仿宋_GB2312" w:cs="仿宋_GB2312"/>
          <w:sz w:val="32"/>
          <w:szCs w:val="32"/>
          <w:lang w:val="en-US" w:eastAsia="zh-CN"/>
        </w:rPr>
        <w:t>7月31日</w:t>
      </w:r>
      <w:r>
        <w:rPr>
          <w:rFonts w:hint="eastAsia" w:ascii="仿宋_GB2312" w:hAnsi="仿宋_GB2312" w:eastAsia="仿宋_GB2312" w:cs="仿宋_GB2312"/>
          <w:sz w:val="32"/>
          <w:szCs w:val="32"/>
        </w:rPr>
        <w:t>通过全国高校黄大年式教师团队创建活动申报系统</w:t>
      </w:r>
      <w:r>
        <w:rPr>
          <w:rFonts w:hint="eastAsia" w:ascii="仿宋_GB2312" w:hAnsi="仿宋_GB2312" w:eastAsia="仿宋_GB2312" w:cs="仿宋_GB2312"/>
          <w:sz w:val="32"/>
          <w:szCs w:val="32"/>
          <w:lang w:eastAsia="zh-CN"/>
        </w:rPr>
        <w:t>提交有关材料（申报系统账号由教育部另行开通）。按教育部要求，</w:t>
      </w:r>
      <w:r>
        <w:rPr>
          <w:rFonts w:hint="eastAsia" w:ascii="仿宋_GB2312" w:hAnsi="仿宋_GB2312" w:eastAsia="仿宋_GB2312" w:cs="仿宋_GB2312"/>
          <w:sz w:val="32"/>
          <w:szCs w:val="32"/>
        </w:rPr>
        <w:t>全国高校黄大年式教师团队创建活动申报系统将从全国教师管理信息系统提取相关数据，请申报单位和个人在申报前务必完善全国教师管理信息系统相关信息。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联系人：崔彦、</w:t>
      </w:r>
      <w:r>
        <w:rPr>
          <w:rFonts w:hint="eastAsia" w:ascii="仿宋_GB2312" w:hAnsi="仿宋_GB2312" w:eastAsia="仿宋_GB2312" w:cs="仿宋_GB2312"/>
          <w:sz w:val="32"/>
          <w:szCs w:val="32"/>
          <w:lang w:eastAsia="zh-CN"/>
        </w:rPr>
        <w:t>林玲</w:t>
      </w:r>
      <w:r>
        <w:rPr>
          <w:rFonts w:hint="eastAsia" w:ascii="仿宋_GB2312" w:hAnsi="仿宋_GB2312" w:eastAsia="仿宋_GB2312" w:cs="仿宋_GB2312"/>
          <w:sz w:val="32"/>
          <w:szCs w:val="32"/>
        </w:rPr>
        <w:t>，联系电话：0591-87091309、0591-87091</w:t>
      </w:r>
      <w:r>
        <w:rPr>
          <w:rFonts w:hint="eastAsia" w:ascii="仿宋_GB2312" w:hAnsi="仿宋_GB2312" w:eastAsia="仿宋_GB2312" w:cs="仿宋_GB2312"/>
          <w:sz w:val="32"/>
          <w:szCs w:val="32"/>
          <w:lang w:val="en-US" w:eastAsia="zh-CN"/>
        </w:rPr>
        <w:t>493</w:t>
      </w:r>
      <w:r>
        <w:rPr>
          <w:rFonts w:hint="eastAsia" w:ascii="仿宋_GB2312" w:hAnsi="仿宋_GB2312" w:eastAsia="仿宋_GB2312" w:cs="仿宋_GB2312"/>
          <w:sz w:val="32"/>
          <w:szCs w:val="32"/>
        </w:rPr>
        <w:t>，电子邮箱：</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"mailto:jytjscbz@fjedu.gov.cn" </w:instrText>
      </w:r>
      <w:r>
        <w:rPr>
          <w:rFonts w:hint="eastAsia" w:ascii="仿宋_GB2312" w:hAnsi="仿宋_GB2312" w:eastAsia="仿宋_GB2312" w:cs="仿宋_GB2312"/>
        </w:rPr>
        <w:fldChar w:fldCharType="separate"/>
      </w:r>
      <w:r>
        <w:rPr>
          <w:rStyle w:val="6"/>
          <w:rFonts w:hint="eastAsia" w:ascii="仿宋_GB2312" w:hAnsi="仿宋_GB2312" w:eastAsia="仿宋_GB2312" w:cs="仿宋_GB2312"/>
          <w:color w:val="auto"/>
          <w:sz w:val="32"/>
          <w:szCs w:val="32"/>
          <w:u w:val="none"/>
        </w:rPr>
        <w:t>jytjsc</w:t>
      </w:r>
      <w:r>
        <w:rPr>
          <w:rStyle w:val="6"/>
          <w:rFonts w:hint="eastAsia" w:ascii="仿宋_GB2312" w:hAnsi="仿宋_GB2312" w:eastAsia="仿宋_GB2312" w:cs="仿宋_GB2312"/>
          <w:color w:val="auto"/>
          <w:sz w:val="32"/>
          <w:szCs w:val="32"/>
          <w:u w:val="none"/>
          <w:lang w:val="en-US" w:eastAsia="zh-CN"/>
        </w:rPr>
        <w:t>rc</w:t>
      </w:r>
      <w:r>
        <w:rPr>
          <w:rStyle w:val="6"/>
          <w:rFonts w:hint="eastAsia" w:ascii="仿宋_GB2312" w:hAnsi="仿宋_GB2312" w:eastAsia="仿宋_GB2312" w:cs="仿宋_GB2312"/>
          <w:color w:val="auto"/>
          <w:sz w:val="32"/>
          <w:szCs w:val="32"/>
          <w:u w:val="none"/>
        </w:rPr>
        <w:t>@</w:t>
      </w:r>
      <w:r>
        <w:rPr>
          <w:rStyle w:val="6"/>
          <w:rFonts w:hint="eastAsia" w:ascii="仿宋_GB2312" w:hAnsi="仿宋_GB2312" w:eastAsia="仿宋_GB2312" w:cs="仿宋_GB2312"/>
          <w:color w:val="auto"/>
          <w:sz w:val="32"/>
          <w:szCs w:val="32"/>
          <w:u w:val="none"/>
          <w:lang w:val="en-US" w:eastAsia="zh-CN"/>
        </w:rPr>
        <w:t>f</w:t>
      </w:r>
      <w:r>
        <w:rPr>
          <w:rStyle w:val="6"/>
          <w:rFonts w:hint="eastAsia" w:ascii="仿宋_GB2312" w:hAnsi="仿宋_GB2312" w:eastAsia="仿宋_GB2312" w:cs="仿宋_GB2312"/>
          <w:color w:val="auto"/>
          <w:sz w:val="32"/>
          <w:szCs w:val="32"/>
          <w:u w:val="none"/>
        </w:rPr>
        <w:fldChar w:fldCharType="end"/>
      </w:r>
      <w:r>
        <w:rPr>
          <w:rStyle w:val="6"/>
          <w:rFonts w:hint="eastAsia" w:ascii="仿宋_GB2312" w:hAnsi="仿宋_GB2312" w:eastAsia="仿宋_GB2312" w:cs="仿宋_GB2312"/>
          <w:color w:val="auto"/>
          <w:sz w:val="32"/>
          <w:szCs w:val="32"/>
          <w:u w:val="none"/>
          <w:lang w:val="en-US" w:eastAsia="zh-CN"/>
        </w:rPr>
        <w:t>jsjyt.cn，地址：福州市鼓楼区鼓屏路162号</w:t>
      </w:r>
      <w:r>
        <w:rPr>
          <w:rFonts w:hint="eastAsia" w:ascii="仿宋_GB2312" w:hAnsi="仿宋_GB2312" w:eastAsia="仿宋_GB2312" w:cs="仿宋_GB2312"/>
          <w:sz w:val="32"/>
          <w:szCs w:val="32"/>
        </w:rPr>
        <w:t>。</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附件：1.全国高校黄大年式教师团队创建指标体系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2.全国高校黄大年式教师团队申报表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3.全国高校黄大年式教师团队推荐汇总表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adjustRightInd/>
        <w:snapToGrid/>
        <w:spacing w:line="600" w:lineRule="exact"/>
        <w:ind w:left="0" w:leftChars="0" w:right="0" w:rightChars="0" w:firstLine="1280" w:firstLineChars="400"/>
        <w:jc w:val="righ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福建省教育厅办公室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6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(依申请公开)</w:t>
      </w:r>
    </w:p>
    <w:tbl>
      <w:tblPr>
        <w:tblStyle w:val="4"/>
        <w:tblpPr w:leftFromText="180" w:rightFromText="180" w:vertAnchor="page" w:horzAnchor="page" w:tblpX="1167" w:tblpY="14272"/>
        <w:tblOverlap w:val="never"/>
        <w:tblW w:w="9640" w:type="dxa"/>
        <w:tblInd w:w="0" w:type="dxa"/>
        <w:tblBorders>
          <w:top w:val="single" w:color="auto" w:sz="12" w:space="0"/>
          <w:left w:val="none" w:color="auto" w:sz="0" w:space="0"/>
          <w:bottom w:val="single" w:color="auto" w:sz="12" w:space="0"/>
          <w:right w:val="none" w:color="auto" w:sz="0" w:space="0"/>
          <w:insideH w:val="single" w:color="auto" w:sz="12" w:space="0"/>
          <w:insideV w:val="none" w:color="auto" w:sz="0" w:space="0"/>
        </w:tblBorders>
        <w:tblLayout w:type="fixed"/>
        <w:tblCellMar>
          <w:top w:w="0" w:type="dxa"/>
          <w:left w:w="28" w:type="dxa"/>
          <w:bottom w:w="0" w:type="dxa"/>
          <w:right w:w="28" w:type="dxa"/>
        </w:tblCellMar>
      </w:tblPr>
      <w:tblGrid>
        <w:gridCol w:w="4888"/>
        <w:gridCol w:w="4752"/>
      </w:tblGrid>
      <w:tr>
        <w:tblPrEx>
          <w:tblBorders>
            <w:top w:val="single" w:color="auto" w:sz="12" w:space="0"/>
            <w:left w:val="none" w:color="auto" w:sz="0" w:space="0"/>
            <w:bottom w:val="single" w:color="auto" w:sz="12" w:space="0"/>
            <w:right w:val="none" w:color="auto" w:sz="0" w:space="0"/>
            <w:insideH w:val="single" w:color="auto" w:sz="12" w:space="0"/>
            <w:insideV w:val="none" w:color="auto" w:sz="0" w:space="0"/>
          </w:tblBorders>
          <w:tblCellMar>
            <w:top w:w="0" w:type="dxa"/>
            <w:left w:w="28" w:type="dxa"/>
            <w:bottom w:w="0" w:type="dxa"/>
            <w:right w:w="28" w:type="dxa"/>
          </w:tblCellMar>
        </w:tblPrEx>
        <w:trPr>
          <w:trHeight w:val="660" w:hRule="atLeast"/>
        </w:trPr>
        <w:tc>
          <w:tcPr>
            <w:tcW w:w="4888" w:type="dxa"/>
            <w:tcBorders>
              <w:tl2br w:val="nil"/>
              <w:tr2bl w:val="nil"/>
            </w:tcBorders>
            <w:noWrap w:val="0"/>
            <w:vAlign w:val="bottom"/>
          </w:tcPr>
          <w:p>
            <w:pPr>
              <w:spacing w:after="100" w:line="590" w:lineRule="exact"/>
              <w:ind w:right="208" w:rightChars="65" w:firstLine="280" w:firstLineChars="100"/>
              <w:rPr>
                <w:rFonts w:ascii="仿宋_GB2312" w:hAnsi="仿宋" w:eastAsia="仿宋_GB2312"/>
                <w:color w:val="auto"/>
                <w:sz w:val="28"/>
              </w:rPr>
            </w:pPr>
            <w:r>
              <w:rPr>
                <w:rFonts w:hint="eastAsia" w:ascii="仿宋_GB2312" w:hAnsi="仿宋" w:eastAsia="仿宋_GB2312" w:cs="仿宋_GB2312"/>
                <w:color w:val="auto"/>
                <w:sz w:val="28"/>
              </w:rPr>
              <w:t>福建省教育厅办公室</w:t>
            </w:r>
          </w:p>
        </w:tc>
        <w:tc>
          <w:tcPr>
            <w:tcW w:w="4752" w:type="dxa"/>
            <w:tcBorders>
              <w:tl2br w:val="nil"/>
              <w:tr2bl w:val="nil"/>
            </w:tcBorders>
            <w:noWrap w:val="0"/>
            <w:vAlign w:val="center"/>
          </w:tcPr>
          <w:p>
            <w:pPr>
              <w:spacing w:after="100" w:afterAutospacing="1" w:line="590" w:lineRule="exact"/>
              <w:ind w:right="208" w:rightChars="65" w:firstLine="840" w:firstLineChars="300"/>
              <w:jc w:val="right"/>
              <w:textAlignment w:val="bottom"/>
              <w:rPr>
                <w:rFonts w:ascii="仿宋_GB2312" w:eastAsia="仿宋_GB2312"/>
                <w:color w:val="auto"/>
              </w:rPr>
            </w:pPr>
            <w:r>
              <w:rPr>
                <w:rFonts w:hint="eastAsia" w:ascii="仿宋_GB2312" w:hAnsi="仿宋" w:eastAsia="仿宋_GB2312" w:cs="仿宋_GB2312"/>
                <w:color w:val="auto"/>
                <w:sz w:val="28"/>
              </w:rPr>
              <w:t>20</w:t>
            </w:r>
            <w:r>
              <w:rPr>
                <w:rFonts w:hint="eastAsia" w:ascii="仿宋_GB2312" w:hAnsi="仿宋" w:eastAsia="仿宋_GB2312" w:cs="仿宋_GB2312"/>
                <w:color w:val="auto"/>
                <w:sz w:val="28"/>
                <w:lang w:val="en-US" w:eastAsia="zh-CN"/>
              </w:rPr>
              <w:t>21</w:t>
            </w:r>
            <w:r>
              <w:rPr>
                <w:rFonts w:hint="eastAsia" w:ascii="仿宋_GB2312" w:hAnsi="仿宋" w:eastAsia="仿宋_GB2312" w:cs="仿宋_GB2312"/>
                <w:color w:val="auto"/>
                <w:sz w:val="28"/>
              </w:rPr>
              <w:t>年</w:t>
            </w:r>
            <w:r>
              <w:rPr>
                <w:rFonts w:hint="eastAsia" w:ascii="仿宋_GB2312" w:hAnsi="仿宋" w:eastAsia="仿宋_GB2312" w:cs="仿宋_GB2312"/>
                <w:color w:val="auto"/>
                <w:sz w:val="28"/>
                <w:lang w:val="en-US" w:eastAsia="zh-CN"/>
              </w:rPr>
              <w:t>4</w:t>
            </w:r>
            <w:r>
              <w:rPr>
                <w:rFonts w:hint="eastAsia" w:ascii="仿宋_GB2312" w:hAnsi="仿宋" w:eastAsia="仿宋_GB2312" w:cs="仿宋_GB2312"/>
                <w:color w:val="auto"/>
                <w:sz w:val="28"/>
              </w:rPr>
              <w:t>月</w:t>
            </w:r>
            <w:r>
              <w:rPr>
                <w:rFonts w:hint="eastAsia" w:ascii="仿宋_GB2312" w:hAnsi="仿宋" w:eastAsia="仿宋_GB2312" w:cs="仿宋_GB2312"/>
                <w:color w:val="auto"/>
                <w:sz w:val="28"/>
                <w:lang w:val="en-US" w:eastAsia="zh-CN"/>
              </w:rPr>
              <w:t>26</w:t>
            </w:r>
            <w:r>
              <w:rPr>
                <w:rFonts w:hint="eastAsia" w:ascii="仿宋_GB2312" w:hAnsi="仿宋" w:eastAsia="仿宋_GB2312" w:cs="仿宋_GB2312"/>
                <w:color w:val="auto"/>
                <w:sz w:val="28"/>
              </w:rPr>
              <w:t>日印发</w:t>
            </w:r>
            <w:r>
              <w:rPr>
                <w:rFonts w:hint="eastAsia" w:ascii="仿宋_GB2312" w:eastAsia="仿宋_GB2312" w:cs="仿宋_GB2312"/>
                <w:color w:val="auto"/>
              </w:rPr>
              <w:t xml:space="preserve"> </w:t>
            </w:r>
          </w:p>
        </w:tc>
      </w:tr>
    </w:tbl>
    <w:p>
      <w:pPr>
        <w:keepNext w:val="0"/>
        <w:keepLines w:val="0"/>
        <w:pageBreakBefore w:val="0"/>
        <w:widowControl/>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hAnsi="Tahoma" w:eastAsia="仿宋_GB2312" w:cs="Tahoma"/>
          <w:color w:val="000000"/>
          <w:kern w:val="0"/>
          <w:sz w:val="30"/>
          <w:szCs w:val="30"/>
          <w:lang w:val="en-US" w:eastAsia="zh-CN" w:bidi="ar-SA"/>
        </w:rPr>
      </w:pPr>
    </w:p>
    <w:sectPr>
      <w:footerReference r:id="rId3" w:type="default"/>
      <w:footerReference r:id="rId4" w:type="even"/>
      <w:pgSz w:w="11906" w:h="16838"/>
      <w:pgMar w:top="2098" w:right="1474" w:bottom="1701" w:left="1587" w:header="851" w:footer="992" w:gutter="0"/>
      <w:pgNumType w:fmt="numberInDash"/>
      <w:cols w:space="0" w:num="1"/>
      <w:rtlGutter w:val="0"/>
      <w:docGrid w:type="lines" w:linePitch="44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jc w:val="right"/>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jc w:val="right"/>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snapToGrid w:val="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evenAndOddHeaders w:val="1"/>
  <w:drawingGridHorizontalSpacing w:val="320"/>
  <w:drawingGridVerticalSpacing w:val="225"/>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F36DE2"/>
    <w:rsid w:val="008505D9"/>
    <w:rsid w:val="00DB7E3D"/>
    <w:rsid w:val="04F724AE"/>
    <w:rsid w:val="05DC3365"/>
    <w:rsid w:val="09690C3C"/>
    <w:rsid w:val="0B6A11C0"/>
    <w:rsid w:val="0BC865E4"/>
    <w:rsid w:val="15BC16D0"/>
    <w:rsid w:val="1A091D99"/>
    <w:rsid w:val="1A7F57E4"/>
    <w:rsid w:val="1CCF74CE"/>
    <w:rsid w:val="1CFA648E"/>
    <w:rsid w:val="1D130874"/>
    <w:rsid w:val="1D421907"/>
    <w:rsid w:val="1EA831B0"/>
    <w:rsid w:val="1EE20413"/>
    <w:rsid w:val="1F21361B"/>
    <w:rsid w:val="20AB672C"/>
    <w:rsid w:val="22E87F1D"/>
    <w:rsid w:val="23F94B27"/>
    <w:rsid w:val="24CA0265"/>
    <w:rsid w:val="27C361EB"/>
    <w:rsid w:val="2A1D35E5"/>
    <w:rsid w:val="2A313694"/>
    <w:rsid w:val="2B52471F"/>
    <w:rsid w:val="2CAE59E8"/>
    <w:rsid w:val="2DB305B1"/>
    <w:rsid w:val="2DEF50CD"/>
    <w:rsid w:val="32555454"/>
    <w:rsid w:val="331446F2"/>
    <w:rsid w:val="3362300E"/>
    <w:rsid w:val="336F1F57"/>
    <w:rsid w:val="33771B8C"/>
    <w:rsid w:val="34777C0D"/>
    <w:rsid w:val="397B6F6D"/>
    <w:rsid w:val="39FC049C"/>
    <w:rsid w:val="3B29454A"/>
    <w:rsid w:val="3CA25783"/>
    <w:rsid w:val="3D423FB7"/>
    <w:rsid w:val="3E247ED4"/>
    <w:rsid w:val="3ED5283C"/>
    <w:rsid w:val="41F51F6F"/>
    <w:rsid w:val="44141D0C"/>
    <w:rsid w:val="45847454"/>
    <w:rsid w:val="477C5E94"/>
    <w:rsid w:val="490B7F57"/>
    <w:rsid w:val="497C2971"/>
    <w:rsid w:val="4BE76ECF"/>
    <w:rsid w:val="4C765BB4"/>
    <w:rsid w:val="4D6B4BDD"/>
    <w:rsid w:val="4D9A29FD"/>
    <w:rsid w:val="4DE85289"/>
    <w:rsid w:val="4DF36DE2"/>
    <w:rsid w:val="5072720C"/>
    <w:rsid w:val="537A2868"/>
    <w:rsid w:val="53D6163E"/>
    <w:rsid w:val="550C5B4B"/>
    <w:rsid w:val="56025FDC"/>
    <w:rsid w:val="58A03D21"/>
    <w:rsid w:val="5A9E6CCE"/>
    <w:rsid w:val="5CA6125B"/>
    <w:rsid w:val="5DA62881"/>
    <w:rsid w:val="5E297E1B"/>
    <w:rsid w:val="60155F86"/>
    <w:rsid w:val="60345585"/>
    <w:rsid w:val="614453CE"/>
    <w:rsid w:val="63CB46ED"/>
    <w:rsid w:val="648C3F05"/>
    <w:rsid w:val="66BE3508"/>
    <w:rsid w:val="671E0834"/>
    <w:rsid w:val="6DF551A0"/>
    <w:rsid w:val="6E4D067A"/>
    <w:rsid w:val="70E95B86"/>
    <w:rsid w:val="75974629"/>
    <w:rsid w:val="76F54D55"/>
    <w:rsid w:val="7A2709B5"/>
    <w:rsid w:val="7ACA57FD"/>
    <w:rsid w:val="7C851E2C"/>
    <w:rsid w:val="7C8B4031"/>
    <w:rsid w:val="7DE1037F"/>
    <w:rsid w:val="7E031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FF4800"/>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5</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2020-12-14T08:39:00Z</dcterms:created>
  <dc:creator>Administrator</dc:creator>
  <cp:lastModifiedBy>樱雨</cp:lastModifiedBy>
  <cp:lastPrinted>2021-04-27T08:01:00Z</cp:lastPrinted>
  <dcterms:modified xsi:type="dcterms:W3CDTF">2021-05-07T03:27:22Z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